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EE36DC" w:rsidRPr="00F47884" w14:paraId="02AEAAF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EE2A"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599A729"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bookmarkStart w:id="0" w:name="_GoBack"/>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bookmarkEnd w:id="0"/>
            <w:r w:rsidRPr="00F47884">
              <w:rPr>
                <w:rFonts w:cstheme="minorHAnsi"/>
                <w:sz w:val="20"/>
                <w:szCs w:val="20"/>
              </w:rPr>
              <w:fldChar w:fldCharType="end"/>
            </w:r>
          </w:p>
        </w:tc>
      </w:tr>
    </w:tbl>
    <w:p w14:paraId="01E060E7" w14:textId="77777777" w:rsidR="00EE36DC" w:rsidRPr="00F47884" w:rsidRDefault="00EE36DC" w:rsidP="00EE36DC">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EE36DC" w:rsidRPr="00F47884" w14:paraId="3A374566"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17F23BBD" w14:textId="77777777" w:rsidR="00EE36DC" w:rsidRPr="00F47884" w:rsidRDefault="00EE36DC"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vodilnega partnerja operacije,</w:t>
            </w:r>
          </w:p>
          <w:p w14:paraId="42EA8684" w14:textId="77777777" w:rsidR="00EE36DC" w:rsidRPr="00F47884" w:rsidRDefault="00EE36DC"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756E1A57" w14:textId="77777777" w:rsidR="00EE36DC" w:rsidRPr="00F47884" w:rsidRDefault="00EE36DC" w:rsidP="00EE36DC">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EE36DC" w:rsidRPr="00F47884" w14:paraId="56FA31CD"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575F7"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Naziv vodilnega partnerja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2BB5009"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33B60C4F"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58B8"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0395D1F"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20C4D979"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030652" w14:textId="77777777" w:rsidR="00EE36DC" w:rsidRPr="00F47884" w:rsidRDefault="00EE36DC"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11654EE"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AD7B479" w14:textId="77777777" w:rsidR="00EE36DC" w:rsidRPr="00F47884" w:rsidRDefault="00EE36DC" w:rsidP="00EE36DC">
      <w:pPr>
        <w:spacing w:before="60" w:after="60"/>
        <w:rPr>
          <w:rFonts w:cstheme="minorHAnsi"/>
          <w:noProof/>
          <w:sz w:val="22"/>
          <w:szCs w:val="22"/>
          <w:lang w:eastAsia="en-US"/>
        </w:rPr>
      </w:pPr>
    </w:p>
    <w:p w14:paraId="003364AC" w14:textId="77777777" w:rsidR="00EE36DC" w:rsidRPr="00F47884" w:rsidRDefault="00EE36DC" w:rsidP="00EE36DC">
      <w:pPr>
        <w:spacing w:before="60" w:after="60"/>
        <w:rPr>
          <w:rFonts w:cstheme="minorHAnsi"/>
          <w:noProof/>
          <w:sz w:val="22"/>
          <w:szCs w:val="22"/>
          <w:lang w:eastAsia="en-US"/>
        </w:rPr>
      </w:pPr>
      <w:r w:rsidRPr="00F47884">
        <w:rPr>
          <w:rFonts w:cstheme="minorHAnsi"/>
          <w:noProof/>
          <w:sz w:val="22"/>
          <w:szCs w:val="22"/>
          <w:lang w:eastAsia="en-US"/>
        </w:rPr>
        <w:t xml:space="preserve">Odgovorna oseba vodilnega partnerja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4EA9BE60" w14:textId="77777777" w:rsidR="00EE36DC" w:rsidRPr="00F47884" w:rsidRDefault="00EE36DC" w:rsidP="00EE36DC">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60F942F0" w14:textId="77777777" w:rsidR="00EE36DC" w:rsidRPr="00F47884" w:rsidRDefault="00EE36DC" w:rsidP="00EE36DC">
      <w:pPr>
        <w:spacing w:before="60" w:after="60"/>
        <w:jc w:val="both"/>
        <w:rPr>
          <w:rFonts w:cstheme="minorHAnsi"/>
          <w:noProof/>
          <w:sz w:val="22"/>
          <w:szCs w:val="22"/>
          <w:lang w:eastAsia="en-US"/>
        </w:rPr>
      </w:pPr>
    </w:p>
    <w:p w14:paraId="5589E626" w14:textId="77777777" w:rsidR="00EE36DC" w:rsidRPr="00F47884" w:rsidRDefault="00EE36DC" w:rsidP="00EE36DC">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64F2E67" w14:textId="77777777" w:rsidR="00EE36DC" w:rsidRPr="00F47884" w:rsidRDefault="00EE36DC" w:rsidP="00EE36DC">
      <w:pPr>
        <w:spacing w:before="60" w:after="60"/>
        <w:jc w:val="both"/>
        <w:rPr>
          <w:rFonts w:cstheme="minorHAnsi"/>
          <w:noProof/>
          <w:sz w:val="22"/>
          <w:szCs w:val="22"/>
          <w:lang w:eastAsia="en-US"/>
        </w:rPr>
      </w:pPr>
    </w:p>
    <w:p w14:paraId="46B3DCCA" w14:textId="78B7EF7F" w:rsidR="00EE36DC" w:rsidRPr="00396BA4" w:rsidRDefault="00EE36DC" w:rsidP="00EE36DC">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7D2A1423" w14:textId="77777777" w:rsidR="00EE36DC" w:rsidRPr="00F47884" w:rsidRDefault="00EE36DC" w:rsidP="00EE36DC">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EE36DC" w:rsidRPr="00F47884" w14:paraId="153B23B7"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BFD"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562AAB1" w14:textId="77777777" w:rsidR="00EE36DC" w:rsidRPr="00F47884" w:rsidRDefault="00EE36DC"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EE36DC" w:rsidRPr="00F47884" w14:paraId="0BEF9A91"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EE09" w14:textId="77777777" w:rsidR="00EE36DC" w:rsidRPr="00F47884" w:rsidRDefault="00EE36DC"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2199ED7" w14:textId="77777777" w:rsidR="00EE36DC" w:rsidRPr="00F47884" w:rsidRDefault="00EE36DC" w:rsidP="001831FC">
            <w:pPr>
              <w:spacing w:before="60" w:after="60"/>
              <w:rPr>
                <w:rFonts w:cstheme="minorHAnsi"/>
                <w:noProof/>
                <w:sz w:val="22"/>
                <w:szCs w:val="22"/>
                <w:lang w:eastAsia="en-US"/>
              </w:rPr>
            </w:pPr>
          </w:p>
        </w:tc>
      </w:tr>
    </w:tbl>
    <w:p w14:paraId="020954D7" w14:textId="16351E51" w:rsidR="00EE36DC" w:rsidRDefault="00EE36DC" w:rsidP="00EE36DC">
      <w:pPr>
        <w:spacing w:before="60" w:after="60"/>
        <w:rPr>
          <w:rFonts w:cstheme="minorHAnsi"/>
          <w:noProof/>
          <w:sz w:val="22"/>
          <w:szCs w:val="22"/>
        </w:rPr>
      </w:pPr>
    </w:p>
    <w:p w14:paraId="0ED8CA04" w14:textId="77777777" w:rsidR="00396BA4" w:rsidRPr="00F47884" w:rsidRDefault="00396BA4" w:rsidP="00EE36DC">
      <w:pPr>
        <w:spacing w:before="60" w:after="60"/>
        <w:rPr>
          <w:rFonts w:cstheme="minorHAnsi"/>
          <w:noProof/>
          <w:sz w:val="22"/>
          <w:szCs w:val="22"/>
        </w:rPr>
      </w:pPr>
    </w:p>
    <w:p w14:paraId="3B087D5E"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4FBE6102"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559C5CBF"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6A9EEF1D"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6E4822AB"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6066F2FB" w14:textId="77777777" w:rsidR="00EE36DC" w:rsidRPr="00F47884" w:rsidRDefault="00EE36DC" w:rsidP="00EE36DC">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68846092" w14:textId="77777777" w:rsidR="00EE36DC" w:rsidRPr="00F47884" w:rsidRDefault="00EE36DC" w:rsidP="00EE36DC">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3979B5A1" w14:textId="77777777" w:rsidR="00EE36DC" w:rsidRPr="00F47884" w:rsidRDefault="00EE36DC" w:rsidP="00EE36DC">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0D39AD3F" w14:textId="415DC69D" w:rsidR="00396BA4" w:rsidRDefault="00396BA4">
      <w:pPr>
        <w:spacing w:after="160" w:line="259" w:lineRule="auto"/>
        <w:rPr>
          <w:rFonts w:cstheme="minorHAnsi"/>
          <w:b/>
          <w:sz w:val="22"/>
          <w:szCs w:val="22"/>
          <w:u w:val="single"/>
        </w:rPr>
      </w:pPr>
      <w:r>
        <w:rPr>
          <w:rFonts w:cstheme="minorHAnsi"/>
          <w:b/>
          <w:sz w:val="22"/>
          <w:szCs w:val="22"/>
          <w:u w:val="single"/>
        </w:rPr>
        <w:br w:type="page"/>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FD2F6C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5A0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A4FBB5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4B525DDD"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E56A8EB"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1E7CB81" w14:textId="296AC8FD"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1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476D85A"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D9B305D"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085B85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3654" w14:textId="59AE1BF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80067D"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58E4E4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92C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898B61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5F182F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5CA213"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FC28EE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D3952E2" w14:textId="77777777" w:rsidR="00396BA4" w:rsidRPr="00F47884" w:rsidRDefault="00396BA4" w:rsidP="00396BA4">
      <w:pPr>
        <w:spacing w:before="60" w:after="60"/>
        <w:rPr>
          <w:rFonts w:cstheme="minorHAnsi"/>
          <w:noProof/>
          <w:sz w:val="22"/>
          <w:szCs w:val="22"/>
          <w:lang w:eastAsia="en-US"/>
        </w:rPr>
      </w:pPr>
    </w:p>
    <w:p w14:paraId="7B2D8130" w14:textId="2CC154A2"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1</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1BC20D85" w14:textId="62AFBAEB"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E8D5D30" w14:textId="77777777" w:rsidR="00396BA4" w:rsidRPr="00F47884" w:rsidRDefault="00396BA4" w:rsidP="00396BA4">
      <w:pPr>
        <w:spacing w:before="60" w:after="60"/>
        <w:jc w:val="both"/>
        <w:rPr>
          <w:rFonts w:cstheme="minorHAnsi"/>
          <w:noProof/>
          <w:sz w:val="22"/>
          <w:szCs w:val="22"/>
          <w:lang w:eastAsia="en-US"/>
        </w:rPr>
      </w:pPr>
    </w:p>
    <w:p w14:paraId="103CEB48"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0C1AF1EA" w14:textId="77777777" w:rsidR="00396BA4" w:rsidRPr="00F47884" w:rsidRDefault="00396BA4" w:rsidP="00396BA4">
      <w:pPr>
        <w:spacing w:before="60" w:after="60"/>
        <w:jc w:val="both"/>
        <w:rPr>
          <w:rFonts w:cstheme="minorHAnsi"/>
          <w:noProof/>
          <w:sz w:val="22"/>
          <w:szCs w:val="22"/>
          <w:lang w:eastAsia="en-US"/>
        </w:rPr>
      </w:pPr>
    </w:p>
    <w:p w14:paraId="00BF5FCD"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48CADB04"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378734A0" w14:textId="77777777" w:rsidTr="00396BA4">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1145A"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0B6953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499DC5A" w14:textId="77777777" w:rsidTr="00396BA4">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A93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33A09E2" w14:textId="77777777" w:rsidR="00396BA4" w:rsidRPr="00F47884" w:rsidRDefault="00396BA4" w:rsidP="001831FC">
            <w:pPr>
              <w:spacing w:before="60" w:after="60"/>
              <w:rPr>
                <w:rFonts w:cstheme="minorHAnsi"/>
                <w:noProof/>
                <w:sz w:val="22"/>
                <w:szCs w:val="22"/>
                <w:lang w:eastAsia="en-US"/>
              </w:rPr>
            </w:pPr>
          </w:p>
        </w:tc>
      </w:tr>
    </w:tbl>
    <w:p w14:paraId="1DA7137B" w14:textId="56697D5E" w:rsidR="00396BA4" w:rsidRDefault="00396BA4" w:rsidP="00396BA4">
      <w:pPr>
        <w:spacing w:before="60" w:after="60"/>
        <w:rPr>
          <w:rFonts w:cstheme="minorHAnsi"/>
          <w:noProof/>
          <w:sz w:val="22"/>
          <w:szCs w:val="22"/>
        </w:rPr>
      </w:pPr>
    </w:p>
    <w:p w14:paraId="0C8645EC" w14:textId="77777777" w:rsidR="00396BA4" w:rsidRPr="00F47884" w:rsidRDefault="00396BA4" w:rsidP="00396BA4">
      <w:pPr>
        <w:spacing w:before="60" w:after="60"/>
        <w:rPr>
          <w:rFonts w:cstheme="minorHAnsi"/>
          <w:noProof/>
          <w:sz w:val="22"/>
          <w:szCs w:val="22"/>
        </w:rPr>
      </w:pPr>
    </w:p>
    <w:p w14:paraId="2DA324A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6C22C1A"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222D0F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4CB66BD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0D53089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57D76A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793CB5EF"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291C7B8D"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5995146" w14:textId="13348E2A" w:rsidR="00396BA4" w:rsidRDefault="00396BA4">
      <w:pPr>
        <w:spacing w:after="160" w:line="259" w:lineRule="auto"/>
        <w:rPr>
          <w:rFonts w:cstheme="minorHAnsi"/>
          <w:b/>
          <w:sz w:val="22"/>
          <w:szCs w:val="22"/>
          <w:u w:val="single"/>
        </w:rPr>
      </w:pPr>
      <w:r>
        <w:rPr>
          <w:rFonts w:cstheme="minorHAnsi"/>
          <w:b/>
          <w:sz w:val="22"/>
          <w:szCs w:val="22"/>
          <w:u w:val="single"/>
        </w:rPr>
        <w:br w:type="page"/>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85060F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E8A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108592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1EA4C7FD"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5448BA4"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298E9BC" w14:textId="69662888"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2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F4BAD4F"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31ADC12F"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076ACB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90129" w14:textId="6F56981E"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D0E80F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3B7F59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F32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23B9B0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2DDB6E9D"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54D68D"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8B7CA5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62F372E" w14:textId="77777777" w:rsidR="00396BA4" w:rsidRPr="00F47884" w:rsidRDefault="00396BA4" w:rsidP="00396BA4">
      <w:pPr>
        <w:spacing w:before="60" w:after="60"/>
        <w:rPr>
          <w:rFonts w:cstheme="minorHAnsi"/>
          <w:noProof/>
          <w:sz w:val="22"/>
          <w:szCs w:val="22"/>
          <w:lang w:eastAsia="en-US"/>
        </w:rPr>
      </w:pPr>
    </w:p>
    <w:p w14:paraId="6C64B7C0" w14:textId="485ECA81"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2</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EEA2AFF"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2880685B" w14:textId="77777777" w:rsidR="00396BA4" w:rsidRPr="00F47884" w:rsidRDefault="00396BA4" w:rsidP="00396BA4">
      <w:pPr>
        <w:spacing w:before="60" w:after="60"/>
        <w:jc w:val="both"/>
        <w:rPr>
          <w:rFonts w:cstheme="minorHAnsi"/>
          <w:noProof/>
          <w:sz w:val="22"/>
          <w:szCs w:val="22"/>
          <w:lang w:eastAsia="en-US"/>
        </w:rPr>
      </w:pPr>
    </w:p>
    <w:p w14:paraId="61303E4D"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12D3089C" w14:textId="77777777" w:rsidR="00396BA4" w:rsidRPr="00F47884" w:rsidRDefault="00396BA4" w:rsidP="00396BA4">
      <w:pPr>
        <w:spacing w:before="60" w:after="60"/>
        <w:jc w:val="both"/>
        <w:rPr>
          <w:rFonts w:cstheme="minorHAnsi"/>
          <w:noProof/>
          <w:sz w:val="22"/>
          <w:szCs w:val="22"/>
          <w:lang w:eastAsia="en-US"/>
        </w:rPr>
      </w:pPr>
    </w:p>
    <w:p w14:paraId="44FE0D15"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148B23F"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25E0951E"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100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0D1A62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506C3F25"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5D0A"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58F2ADD" w14:textId="77777777" w:rsidR="00396BA4" w:rsidRPr="00F47884" w:rsidRDefault="00396BA4" w:rsidP="001831FC">
            <w:pPr>
              <w:spacing w:before="60" w:after="60"/>
              <w:rPr>
                <w:rFonts w:cstheme="minorHAnsi"/>
                <w:noProof/>
                <w:sz w:val="22"/>
                <w:szCs w:val="22"/>
                <w:lang w:eastAsia="en-US"/>
              </w:rPr>
            </w:pPr>
          </w:p>
        </w:tc>
      </w:tr>
    </w:tbl>
    <w:p w14:paraId="63BF46A1" w14:textId="77777777" w:rsidR="00396BA4" w:rsidRDefault="00396BA4" w:rsidP="00396BA4">
      <w:pPr>
        <w:spacing w:before="60" w:after="60"/>
        <w:rPr>
          <w:rFonts w:cstheme="minorHAnsi"/>
          <w:noProof/>
          <w:sz w:val="22"/>
          <w:szCs w:val="22"/>
        </w:rPr>
      </w:pPr>
    </w:p>
    <w:p w14:paraId="3C0586AC" w14:textId="77777777" w:rsidR="00396BA4" w:rsidRPr="00F47884" w:rsidRDefault="00396BA4" w:rsidP="00396BA4">
      <w:pPr>
        <w:spacing w:before="60" w:after="60"/>
        <w:rPr>
          <w:rFonts w:cstheme="minorHAnsi"/>
          <w:noProof/>
          <w:sz w:val="22"/>
          <w:szCs w:val="22"/>
        </w:rPr>
      </w:pPr>
    </w:p>
    <w:p w14:paraId="3B0C5BD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42B008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0C0C75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EACFFB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2DDB13E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896770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4F603A27"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39A3CD60"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5C0AA23B" w14:textId="77777777" w:rsidR="00396BA4" w:rsidRPr="00F47884" w:rsidRDefault="00396BA4" w:rsidP="00396BA4">
      <w:pPr>
        <w:rPr>
          <w:rFonts w:cstheme="minorHAnsi"/>
          <w:b/>
          <w:sz w:val="22"/>
          <w:szCs w:val="22"/>
          <w:u w:val="single"/>
        </w:rPr>
      </w:pPr>
    </w:p>
    <w:p w14:paraId="4058EDCA"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D4B297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455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21BBDB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2783B033"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5CA230D8"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020B5DD0" w14:textId="54E9F056"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3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91A9A68"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538AD9E"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214989CF"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6B2C" w14:textId="43F967D5"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94182F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45F01D1"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8826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EF3F6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0B3D14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BD594C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B8842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D7027DF" w14:textId="77777777" w:rsidR="00396BA4" w:rsidRPr="00F47884" w:rsidRDefault="00396BA4" w:rsidP="00396BA4">
      <w:pPr>
        <w:spacing w:before="60" w:after="60"/>
        <w:rPr>
          <w:rFonts w:cstheme="minorHAnsi"/>
          <w:noProof/>
          <w:sz w:val="22"/>
          <w:szCs w:val="22"/>
          <w:lang w:eastAsia="en-US"/>
        </w:rPr>
      </w:pPr>
    </w:p>
    <w:p w14:paraId="32B66DC1" w14:textId="76C1998A"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3</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1B9D537E"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D98BC19" w14:textId="77777777" w:rsidR="00396BA4" w:rsidRPr="00F47884" w:rsidRDefault="00396BA4" w:rsidP="00396BA4">
      <w:pPr>
        <w:spacing w:before="60" w:after="60"/>
        <w:jc w:val="both"/>
        <w:rPr>
          <w:rFonts w:cstheme="minorHAnsi"/>
          <w:noProof/>
          <w:sz w:val="22"/>
          <w:szCs w:val="22"/>
          <w:lang w:eastAsia="en-US"/>
        </w:rPr>
      </w:pPr>
    </w:p>
    <w:p w14:paraId="6774F52E"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0CEEC759" w14:textId="77777777" w:rsidR="00396BA4" w:rsidRPr="00F47884" w:rsidRDefault="00396BA4" w:rsidP="00396BA4">
      <w:pPr>
        <w:spacing w:before="60" w:after="60"/>
        <w:jc w:val="both"/>
        <w:rPr>
          <w:rFonts w:cstheme="minorHAnsi"/>
          <w:noProof/>
          <w:sz w:val="22"/>
          <w:szCs w:val="22"/>
          <w:lang w:eastAsia="en-US"/>
        </w:rPr>
      </w:pPr>
    </w:p>
    <w:p w14:paraId="3F624872"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38821036"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37004E3"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4B67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FC7EA2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5DEDF48"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3CF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EC710DD" w14:textId="77777777" w:rsidR="00396BA4" w:rsidRPr="00F47884" w:rsidRDefault="00396BA4" w:rsidP="001831FC">
            <w:pPr>
              <w:spacing w:before="60" w:after="60"/>
              <w:rPr>
                <w:rFonts w:cstheme="minorHAnsi"/>
                <w:noProof/>
                <w:sz w:val="22"/>
                <w:szCs w:val="22"/>
                <w:lang w:eastAsia="en-US"/>
              </w:rPr>
            </w:pPr>
          </w:p>
        </w:tc>
      </w:tr>
    </w:tbl>
    <w:p w14:paraId="22287D56" w14:textId="77777777" w:rsidR="00396BA4" w:rsidRDefault="00396BA4" w:rsidP="00396BA4">
      <w:pPr>
        <w:spacing w:before="60" w:after="60"/>
        <w:rPr>
          <w:rFonts w:cstheme="minorHAnsi"/>
          <w:noProof/>
          <w:sz w:val="22"/>
          <w:szCs w:val="22"/>
        </w:rPr>
      </w:pPr>
    </w:p>
    <w:p w14:paraId="065D1E38" w14:textId="77777777" w:rsidR="00396BA4" w:rsidRPr="00F47884" w:rsidRDefault="00396BA4" w:rsidP="00396BA4">
      <w:pPr>
        <w:spacing w:before="60" w:after="60"/>
        <w:rPr>
          <w:rFonts w:cstheme="minorHAnsi"/>
          <w:noProof/>
          <w:sz w:val="22"/>
          <w:szCs w:val="22"/>
        </w:rPr>
      </w:pPr>
    </w:p>
    <w:p w14:paraId="3D5CF2E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31DE85D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0C17CB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9DA831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2EE4314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0343001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3C66DB34"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50F42EDC"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2B69E04" w14:textId="77777777" w:rsidR="00396BA4" w:rsidRPr="00F47884" w:rsidRDefault="00396BA4" w:rsidP="00396BA4">
      <w:pPr>
        <w:rPr>
          <w:rFonts w:cstheme="minorHAnsi"/>
          <w:b/>
          <w:sz w:val="22"/>
          <w:szCs w:val="22"/>
          <w:u w:val="single"/>
        </w:rPr>
      </w:pPr>
    </w:p>
    <w:p w14:paraId="72D8CF19"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A78363B"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F58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B1046C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50C56287"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E44FC13"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3F61C0DD" w14:textId="4A539E3A"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4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430C6BD"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378766AE"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1152E16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EBC3" w14:textId="1CFCF5A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4</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6B38DC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DEC9B2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617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7B1E00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FB380D8"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07FD0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281FC2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462B10B" w14:textId="77777777" w:rsidR="00396BA4" w:rsidRPr="00F47884" w:rsidRDefault="00396BA4" w:rsidP="00396BA4">
      <w:pPr>
        <w:spacing w:before="60" w:after="60"/>
        <w:rPr>
          <w:rFonts w:cstheme="minorHAnsi"/>
          <w:noProof/>
          <w:sz w:val="22"/>
          <w:szCs w:val="22"/>
          <w:lang w:eastAsia="en-US"/>
        </w:rPr>
      </w:pPr>
    </w:p>
    <w:p w14:paraId="492EC3EB" w14:textId="4189698D"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4</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221EEECE"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7BC25E9" w14:textId="77777777" w:rsidR="00396BA4" w:rsidRPr="00F47884" w:rsidRDefault="00396BA4" w:rsidP="00396BA4">
      <w:pPr>
        <w:spacing w:before="60" w:after="60"/>
        <w:jc w:val="both"/>
        <w:rPr>
          <w:rFonts w:cstheme="minorHAnsi"/>
          <w:noProof/>
          <w:sz w:val="22"/>
          <w:szCs w:val="22"/>
          <w:lang w:eastAsia="en-US"/>
        </w:rPr>
      </w:pPr>
    </w:p>
    <w:p w14:paraId="280723A7"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4EF8680" w14:textId="77777777" w:rsidR="00396BA4" w:rsidRPr="00F47884" w:rsidRDefault="00396BA4" w:rsidP="00396BA4">
      <w:pPr>
        <w:spacing w:before="60" w:after="60"/>
        <w:jc w:val="both"/>
        <w:rPr>
          <w:rFonts w:cstheme="minorHAnsi"/>
          <w:noProof/>
          <w:sz w:val="22"/>
          <w:szCs w:val="22"/>
          <w:lang w:eastAsia="en-US"/>
        </w:rPr>
      </w:pPr>
    </w:p>
    <w:p w14:paraId="6407A541"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145B96C4"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C1D5C9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A31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E855512"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060F914"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10E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5726387" w14:textId="77777777" w:rsidR="00396BA4" w:rsidRPr="00F47884" w:rsidRDefault="00396BA4" w:rsidP="001831FC">
            <w:pPr>
              <w:spacing w:before="60" w:after="60"/>
              <w:rPr>
                <w:rFonts w:cstheme="minorHAnsi"/>
                <w:noProof/>
                <w:sz w:val="22"/>
                <w:szCs w:val="22"/>
                <w:lang w:eastAsia="en-US"/>
              </w:rPr>
            </w:pPr>
          </w:p>
        </w:tc>
      </w:tr>
    </w:tbl>
    <w:p w14:paraId="13402F3D" w14:textId="77777777" w:rsidR="00396BA4" w:rsidRDefault="00396BA4" w:rsidP="00396BA4">
      <w:pPr>
        <w:spacing w:before="60" w:after="60"/>
        <w:rPr>
          <w:rFonts w:cstheme="minorHAnsi"/>
          <w:noProof/>
          <w:sz w:val="22"/>
          <w:szCs w:val="22"/>
        </w:rPr>
      </w:pPr>
    </w:p>
    <w:p w14:paraId="2060E8C4" w14:textId="77777777" w:rsidR="00396BA4" w:rsidRPr="00F47884" w:rsidRDefault="00396BA4" w:rsidP="00396BA4">
      <w:pPr>
        <w:spacing w:before="60" w:after="60"/>
        <w:rPr>
          <w:rFonts w:cstheme="minorHAnsi"/>
          <w:noProof/>
          <w:sz w:val="22"/>
          <w:szCs w:val="22"/>
        </w:rPr>
      </w:pPr>
    </w:p>
    <w:p w14:paraId="40CE641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48E3C69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54653B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56066A8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4F32593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59969E4D"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243D6B4"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7F906BFD"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628BB662" w14:textId="77777777" w:rsidR="00396BA4" w:rsidRPr="00F47884" w:rsidRDefault="00396BA4" w:rsidP="00396BA4">
      <w:pPr>
        <w:rPr>
          <w:rFonts w:cstheme="minorHAnsi"/>
          <w:b/>
          <w:sz w:val="22"/>
          <w:szCs w:val="22"/>
          <w:u w:val="single"/>
        </w:rPr>
      </w:pPr>
    </w:p>
    <w:p w14:paraId="24E0A68B"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37F00660"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ED46"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CD87AE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0E316087"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0CDAD9A"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1750D1BE" w14:textId="41764773"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5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28B306E"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6D89A4EA"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FD335F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9926" w14:textId="1B90350F"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5</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7681AA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E560AE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E82C"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0DCB69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22D7BE9"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EC713E"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AC13C2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15F76806" w14:textId="77777777" w:rsidR="00396BA4" w:rsidRPr="00F47884" w:rsidRDefault="00396BA4" w:rsidP="00396BA4">
      <w:pPr>
        <w:spacing w:before="60" w:after="60"/>
        <w:rPr>
          <w:rFonts w:cstheme="minorHAnsi"/>
          <w:noProof/>
          <w:sz w:val="22"/>
          <w:szCs w:val="22"/>
          <w:lang w:eastAsia="en-US"/>
        </w:rPr>
      </w:pPr>
    </w:p>
    <w:p w14:paraId="4F5E6181" w14:textId="4F54CC37"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5</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72CF7BF5"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CD36E00" w14:textId="77777777" w:rsidR="00396BA4" w:rsidRPr="00F47884" w:rsidRDefault="00396BA4" w:rsidP="00396BA4">
      <w:pPr>
        <w:spacing w:before="60" w:after="60"/>
        <w:jc w:val="both"/>
        <w:rPr>
          <w:rFonts w:cstheme="minorHAnsi"/>
          <w:noProof/>
          <w:sz w:val="22"/>
          <w:szCs w:val="22"/>
          <w:lang w:eastAsia="en-US"/>
        </w:rPr>
      </w:pPr>
    </w:p>
    <w:p w14:paraId="762FC38C"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16DD1FD" w14:textId="77777777" w:rsidR="00396BA4" w:rsidRPr="00F47884" w:rsidRDefault="00396BA4" w:rsidP="00396BA4">
      <w:pPr>
        <w:spacing w:before="60" w:after="60"/>
        <w:jc w:val="both"/>
        <w:rPr>
          <w:rFonts w:cstheme="minorHAnsi"/>
          <w:noProof/>
          <w:sz w:val="22"/>
          <w:szCs w:val="22"/>
          <w:lang w:eastAsia="en-US"/>
        </w:rPr>
      </w:pPr>
    </w:p>
    <w:p w14:paraId="0D1DA1C4"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44D3A149"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120699A7"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F597F"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47906C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12ABD48A"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1517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EDF2C1B" w14:textId="77777777" w:rsidR="00396BA4" w:rsidRPr="00F47884" w:rsidRDefault="00396BA4" w:rsidP="001831FC">
            <w:pPr>
              <w:spacing w:before="60" w:after="60"/>
              <w:rPr>
                <w:rFonts w:cstheme="minorHAnsi"/>
                <w:noProof/>
                <w:sz w:val="22"/>
                <w:szCs w:val="22"/>
                <w:lang w:eastAsia="en-US"/>
              </w:rPr>
            </w:pPr>
          </w:p>
        </w:tc>
      </w:tr>
    </w:tbl>
    <w:p w14:paraId="6505659B" w14:textId="77777777" w:rsidR="00396BA4" w:rsidRDefault="00396BA4" w:rsidP="00396BA4">
      <w:pPr>
        <w:spacing w:before="60" w:after="60"/>
        <w:rPr>
          <w:rFonts w:cstheme="minorHAnsi"/>
          <w:noProof/>
          <w:sz w:val="22"/>
          <w:szCs w:val="22"/>
        </w:rPr>
      </w:pPr>
    </w:p>
    <w:p w14:paraId="1B17E359" w14:textId="77777777" w:rsidR="00396BA4" w:rsidRPr="00F47884" w:rsidRDefault="00396BA4" w:rsidP="00396BA4">
      <w:pPr>
        <w:spacing w:before="60" w:after="60"/>
        <w:rPr>
          <w:rFonts w:cstheme="minorHAnsi"/>
          <w:noProof/>
          <w:sz w:val="22"/>
          <w:szCs w:val="22"/>
        </w:rPr>
      </w:pPr>
    </w:p>
    <w:p w14:paraId="7E79805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163E17A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71E070E"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0601966E"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05F4B47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17BCA73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3B674B89"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4C991DA"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43ED0BD2" w14:textId="77777777" w:rsidR="00396BA4" w:rsidRPr="00F47884" w:rsidRDefault="00396BA4" w:rsidP="00396BA4">
      <w:pPr>
        <w:rPr>
          <w:rFonts w:cstheme="minorHAnsi"/>
          <w:b/>
          <w:sz w:val="22"/>
          <w:szCs w:val="22"/>
          <w:u w:val="single"/>
        </w:rPr>
      </w:pPr>
    </w:p>
    <w:p w14:paraId="77EB56E5"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6D5198B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186B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049767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6E5D02F1"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722D93DC"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0146BCA2" w14:textId="2CCE812F"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6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1BF47AE"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598E465C"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B0A2B0C"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1B27" w14:textId="46F59E71"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6</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DD477F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83A0D92"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44C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DB447F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131A785"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278C61"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641464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48F48D15" w14:textId="77777777" w:rsidR="00396BA4" w:rsidRPr="00F47884" w:rsidRDefault="00396BA4" w:rsidP="00396BA4">
      <w:pPr>
        <w:spacing w:before="60" w:after="60"/>
        <w:rPr>
          <w:rFonts w:cstheme="minorHAnsi"/>
          <w:noProof/>
          <w:sz w:val="22"/>
          <w:szCs w:val="22"/>
          <w:lang w:eastAsia="en-US"/>
        </w:rPr>
      </w:pPr>
    </w:p>
    <w:p w14:paraId="68D52A74" w14:textId="5052057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6</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54CA9D73"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7C072189" w14:textId="77777777" w:rsidR="00396BA4" w:rsidRPr="00F47884" w:rsidRDefault="00396BA4" w:rsidP="00396BA4">
      <w:pPr>
        <w:spacing w:before="60" w:after="60"/>
        <w:jc w:val="both"/>
        <w:rPr>
          <w:rFonts w:cstheme="minorHAnsi"/>
          <w:noProof/>
          <w:sz w:val="22"/>
          <w:szCs w:val="22"/>
          <w:lang w:eastAsia="en-US"/>
        </w:rPr>
      </w:pPr>
    </w:p>
    <w:p w14:paraId="389E8007"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3A25EBE" w14:textId="77777777" w:rsidR="00396BA4" w:rsidRPr="00F47884" w:rsidRDefault="00396BA4" w:rsidP="00396BA4">
      <w:pPr>
        <w:spacing w:before="60" w:after="60"/>
        <w:jc w:val="both"/>
        <w:rPr>
          <w:rFonts w:cstheme="minorHAnsi"/>
          <w:noProof/>
          <w:sz w:val="22"/>
          <w:szCs w:val="22"/>
          <w:lang w:eastAsia="en-US"/>
        </w:rPr>
      </w:pPr>
    </w:p>
    <w:p w14:paraId="77195C76"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22FD18F9"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7C08772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D6E8"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84862F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7048BA8"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6843"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53CC2A9" w14:textId="77777777" w:rsidR="00396BA4" w:rsidRPr="00F47884" w:rsidRDefault="00396BA4" w:rsidP="001831FC">
            <w:pPr>
              <w:spacing w:before="60" w:after="60"/>
              <w:rPr>
                <w:rFonts w:cstheme="minorHAnsi"/>
                <w:noProof/>
                <w:sz w:val="22"/>
                <w:szCs w:val="22"/>
                <w:lang w:eastAsia="en-US"/>
              </w:rPr>
            </w:pPr>
          </w:p>
        </w:tc>
      </w:tr>
    </w:tbl>
    <w:p w14:paraId="046EAA11" w14:textId="77777777" w:rsidR="00396BA4" w:rsidRDefault="00396BA4" w:rsidP="00396BA4">
      <w:pPr>
        <w:spacing w:before="60" w:after="60"/>
        <w:rPr>
          <w:rFonts w:cstheme="minorHAnsi"/>
          <w:noProof/>
          <w:sz w:val="22"/>
          <w:szCs w:val="22"/>
        </w:rPr>
      </w:pPr>
    </w:p>
    <w:p w14:paraId="247EEF5F" w14:textId="77777777" w:rsidR="00396BA4" w:rsidRPr="00F47884" w:rsidRDefault="00396BA4" w:rsidP="00396BA4">
      <w:pPr>
        <w:spacing w:before="60" w:after="60"/>
        <w:rPr>
          <w:rFonts w:cstheme="minorHAnsi"/>
          <w:noProof/>
          <w:sz w:val="22"/>
          <w:szCs w:val="22"/>
        </w:rPr>
      </w:pPr>
    </w:p>
    <w:p w14:paraId="34B1D4E5"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254136AD"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51DB4A6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64C1930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71315B7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0D8DBBD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116D07F2"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1ED68FA8"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2851D11C" w14:textId="77777777" w:rsidR="00396BA4" w:rsidRPr="00F47884" w:rsidRDefault="00396BA4" w:rsidP="00396BA4">
      <w:pPr>
        <w:rPr>
          <w:rFonts w:cstheme="minorHAnsi"/>
          <w:b/>
          <w:sz w:val="22"/>
          <w:szCs w:val="22"/>
          <w:u w:val="single"/>
        </w:rPr>
      </w:pPr>
    </w:p>
    <w:p w14:paraId="65CFF809"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4605E0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5B7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0F9FE6A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0003DF5B"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0E8BCD7B"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2F9C4B00" w14:textId="34D3EA89"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7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19F60789"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24569415"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0C35B03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A1CA" w14:textId="26A3EB9F"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7</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29FA8E66"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F7D90A7"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F9CE"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09A034E"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DBBFC01"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235080"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8D425D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FBF5880" w14:textId="77777777" w:rsidR="00396BA4" w:rsidRPr="00F47884" w:rsidRDefault="00396BA4" w:rsidP="00396BA4">
      <w:pPr>
        <w:spacing w:before="60" w:after="60"/>
        <w:rPr>
          <w:rFonts w:cstheme="minorHAnsi"/>
          <w:noProof/>
          <w:sz w:val="22"/>
          <w:szCs w:val="22"/>
          <w:lang w:eastAsia="en-US"/>
        </w:rPr>
      </w:pPr>
    </w:p>
    <w:p w14:paraId="6AB311CC" w14:textId="6B26138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7</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72BE9D24"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159F6CB6" w14:textId="77777777" w:rsidR="00396BA4" w:rsidRPr="00F47884" w:rsidRDefault="00396BA4" w:rsidP="00396BA4">
      <w:pPr>
        <w:spacing w:before="60" w:after="60"/>
        <w:jc w:val="both"/>
        <w:rPr>
          <w:rFonts w:cstheme="minorHAnsi"/>
          <w:noProof/>
          <w:sz w:val="22"/>
          <w:szCs w:val="22"/>
          <w:lang w:eastAsia="en-US"/>
        </w:rPr>
      </w:pPr>
    </w:p>
    <w:p w14:paraId="201A34B2"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28645B72" w14:textId="77777777" w:rsidR="00396BA4" w:rsidRPr="00F47884" w:rsidRDefault="00396BA4" w:rsidP="00396BA4">
      <w:pPr>
        <w:spacing w:before="60" w:after="60"/>
        <w:jc w:val="both"/>
        <w:rPr>
          <w:rFonts w:cstheme="minorHAnsi"/>
          <w:noProof/>
          <w:sz w:val="22"/>
          <w:szCs w:val="22"/>
          <w:lang w:eastAsia="en-US"/>
        </w:rPr>
      </w:pPr>
    </w:p>
    <w:p w14:paraId="2D14E288"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15434523"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4CECC23C"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1F5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5800FD8"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23D9416"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5FE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13ED351" w14:textId="77777777" w:rsidR="00396BA4" w:rsidRPr="00F47884" w:rsidRDefault="00396BA4" w:rsidP="001831FC">
            <w:pPr>
              <w:spacing w:before="60" w:after="60"/>
              <w:rPr>
                <w:rFonts w:cstheme="minorHAnsi"/>
                <w:noProof/>
                <w:sz w:val="22"/>
                <w:szCs w:val="22"/>
                <w:lang w:eastAsia="en-US"/>
              </w:rPr>
            </w:pPr>
          </w:p>
        </w:tc>
      </w:tr>
    </w:tbl>
    <w:p w14:paraId="0F66B250" w14:textId="77777777" w:rsidR="00396BA4" w:rsidRDefault="00396BA4" w:rsidP="00396BA4">
      <w:pPr>
        <w:spacing w:before="60" w:after="60"/>
        <w:rPr>
          <w:rFonts w:cstheme="minorHAnsi"/>
          <w:noProof/>
          <w:sz w:val="22"/>
          <w:szCs w:val="22"/>
        </w:rPr>
      </w:pPr>
    </w:p>
    <w:p w14:paraId="71D361E1" w14:textId="77777777" w:rsidR="00396BA4" w:rsidRPr="00F47884" w:rsidRDefault="00396BA4" w:rsidP="00396BA4">
      <w:pPr>
        <w:spacing w:before="60" w:after="60"/>
        <w:rPr>
          <w:rFonts w:cstheme="minorHAnsi"/>
          <w:noProof/>
          <w:sz w:val="22"/>
          <w:szCs w:val="22"/>
        </w:rPr>
      </w:pPr>
    </w:p>
    <w:p w14:paraId="555EFC2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37FB86E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47726078"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09EBC9A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5A45214"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7BEDA28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66801583"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5AC63D19"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0222C140" w14:textId="77777777" w:rsidR="00396BA4" w:rsidRPr="00F47884" w:rsidRDefault="00396BA4" w:rsidP="00396BA4">
      <w:pPr>
        <w:rPr>
          <w:rFonts w:cstheme="minorHAnsi"/>
          <w:b/>
          <w:sz w:val="22"/>
          <w:szCs w:val="22"/>
          <w:u w:val="single"/>
        </w:rPr>
      </w:pPr>
    </w:p>
    <w:p w14:paraId="0A5C6D93"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76051E5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5229"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030AA61"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D6AFD7A"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629E002E"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4C8AF894" w14:textId="17D8F2D2"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8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A6F15A5"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6279C91D"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5AAB4918"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46A8" w14:textId="7C2FFF82"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8</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214952A"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0D0AA4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F99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DB69720"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334EF0F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211ED0"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1A7F42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67ED0F3" w14:textId="77777777" w:rsidR="00396BA4" w:rsidRPr="00F47884" w:rsidRDefault="00396BA4" w:rsidP="00396BA4">
      <w:pPr>
        <w:spacing w:before="60" w:after="60"/>
        <w:rPr>
          <w:rFonts w:cstheme="minorHAnsi"/>
          <w:noProof/>
          <w:sz w:val="22"/>
          <w:szCs w:val="22"/>
          <w:lang w:eastAsia="en-US"/>
        </w:rPr>
      </w:pPr>
    </w:p>
    <w:p w14:paraId="7A22F455" w14:textId="7897454B"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8</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2A045D09"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0471FB5D" w14:textId="77777777" w:rsidR="00396BA4" w:rsidRPr="00F47884" w:rsidRDefault="00396BA4" w:rsidP="00396BA4">
      <w:pPr>
        <w:spacing w:before="60" w:after="60"/>
        <w:jc w:val="both"/>
        <w:rPr>
          <w:rFonts w:cstheme="minorHAnsi"/>
          <w:noProof/>
          <w:sz w:val="22"/>
          <w:szCs w:val="22"/>
          <w:lang w:eastAsia="en-US"/>
        </w:rPr>
      </w:pPr>
    </w:p>
    <w:p w14:paraId="23C4D124"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509807F3" w14:textId="77777777" w:rsidR="00396BA4" w:rsidRPr="00F47884" w:rsidRDefault="00396BA4" w:rsidP="00396BA4">
      <w:pPr>
        <w:spacing w:before="60" w:after="60"/>
        <w:jc w:val="both"/>
        <w:rPr>
          <w:rFonts w:cstheme="minorHAnsi"/>
          <w:noProof/>
          <w:sz w:val="22"/>
          <w:szCs w:val="22"/>
          <w:lang w:eastAsia="en-US"/>
        </w:rPr>
      </w:pPr>
    </w:p>
    <w:p w14:paraId="7375E61E"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0D09FBDF"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6DC0285C"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4DF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38AC54F"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56BCCEF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484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DB5E91D" w14:textId="77777777" w:rsidR="00396BA4" w:rsidRPr="00F47884" w:rsidRDefault="00396BA4" w:rsidP="001831FC">
            <w:pPr>
              <w:spacing w:before="60" w:after="60"/>
              <w:rPr>
                <w:rFonts w:cstheme="minorHAnsi"/>
                <w:noProof/>
                <w:sz w:val="22"/>
                <w:szCs w:val="22"/>
                <w:lang w:eastAsia="en-US"/>
              </w:rPr>
            </w:pPr>
          </w:p>
        </w:tc>
      </w:tr>
    </w:tbl>
    <w:p w14:paraId="245D5E09" w14:textId="77777777" w:rsidR="00396BA4" w:rsidRDefault="00396BA4" w:rsidP="00396BA4">
      <w:pPr>
        <w:spacing w:before="60" w:after="60"/>
        <w:rPr>
          <w:rFonts w:cstheme="minorHAnsi"/>
          <w:noProof/>
          <w:sz w:val="22"/>
          <w:szCs w:val="22"/>
        </w:rPr>
      </w:pPr>
    </w:p>
    <w:p w14:paraId="2CED337F" w14:textId="77777777" w:rsidR="00396BA4" w:rsidRPr="00F47884" w:rsidRDefault="00396BA4" w:rsidP="00396BA4">
      <w:pPr>
        <w:spacing w:before="60" w:after="60"/>
        <w:rPr>
          <w:rFonts w:cstheme="minorHAnsi"/>
          <w:noProof/>
          <w:sz w:val="22"/>
          <w:szCs w:val="22"/>
        </w:rPr>
      </w:pPr>
    </w:p>
    <w:p w14:paraId="22DD59C4"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20C98ABF"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EDC935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1F0DFF5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7708D0F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28458E51"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F717333"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E5D20BB"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25BD5810" w14:textId="77777777" w:rsidR="00396BA4" w:rsidRPr="00F47884" w:rsidRDefault="00396BA4" w:rsidP="00396BA4">
      <w:pPr>
        <w:rPr>
          <w:rFonts w:cstheme="minorHAnsi"/>
          <w:b/>
          <w:sz w:val="22"/>
          <w:szCs w:val="22"/>
          <w:u w:val="single"/>
        </w:rPr>
      </w:pPr>
    </w:p>
    <w:p w14:paraId="6BE82524"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613747A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D349"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2E75F1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20C48CCA"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4BEFB201"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2F59E0EC" w14:textId="626B9236"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9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261698C6"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458CB48B"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16E46A9A"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0CB7" w14:textId="570B2FC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9</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DAFA89D"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70D7CA3"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481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80BC83B"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76DDD36E"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736722"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5486F2C"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37052B42" w14:textId="77777777" w:rsidR="00396BA4" w:rsidRPr="00F47884" w:rsidRDefault="00396BA4" w:rsidP="00396BA4">
      <w:pPr>
        <w:spacing w:before="60" w:after="60"/>
        <w:rPr>
          <w:rFonts w:cstheme="minorHAnsi"/>
          <w:noProof/>
          <w:sz w:val="22"/>
          <w:szCs w:val="22"/>
          <w:lang w:eastAsia="en-US"/>
        </w:rPr>
      </w:pPr>
    </w:p>
    <w:p w14:paraId="5C594609" w14:textId="2F9108B7"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9</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7E0B6E9"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32D5FB36" w14:textId="77777777" w:rsidR="00396BA4" w:rsidRPr="00F47884" w:rsidRDefault="00396BA4" w:rsidP="00396BA4">
      <w:pPr>
        <w:spacing w:before="60" w:after="60"/>
        <w:jc w:val="both"/>
        <w:rPr>
          <w:rFonts w:cstheme="minorHAnsi"/>
          <w:noProof/>
          <w:sz w:val="22"/>
          <w:szCs w:val="22"/>
          <w:lang w:eastAsia="en-US"/>
        </w:rPr>
      </w:pPr>
    </w:p>
    <w:p w14:paraId="5613160A"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35416C27" w14:textId="77777777" w:rsidR="00396BA4" w:rsidRPr="00F47884" w:rsidRDefault="00396BA4" w:rsidP="00396BA4">
      <w:pPr>
        <w:spacing w:before="60" w:after="60"/>
        <w:jc w:val="both"/>
        <w:rPr>
          <w:rFonts w:cstheme="minorHAnsi"/>
          <w:noProof/>
          <w:sz w:val="22"/>
          <w:szCs w:val="22"/>
          <w:lang w:eastAsia="en-US"/>
        </w:rPr>
      </w:pPr>
    </w:p>
    <w:p w14:paraId="29DEEAF0"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7E7B9B3"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6294EE33"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F0ED"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DE69954"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62299FB9"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0DB2"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CB1201B" w14:textId="77777777" w:rsidR="00396BA4" w:rsidRPr="00F47884" w:rsidRDefault="00396BA4" w:rsidP="001831FC">
            <w:pPr>
              <w:spacing w:before="60" w:after="60"/>
              <w:rPr>
                <w:rFonts w:cstheme="minorHAnsi"/>
                <w:noProof/>
                <w:sz w:val="22"/>
                <w:szCs w:val="22"/>
                <w:lang w:eastAsia="en-US"/>
              </w:rPr>
            </w:pPr>
          </w:p>
        </w:tc>
      </w:tr>
    </w:tbl>
    <w:p w14:paraId="71E1560B" w14:textId="77777777" w:rsidR="00396BA4" w:rsidRDefault="00396BA4" w:rsidP="00396BA4">
      <w:pPr>
        <w:spacing w:before="60" w:after="60"/>
        <w:rPr>
          <w:rFonts w:cstheme="minorHAnsi"/>
          <w:noProof/>
          <w:sz w:val="22"/>
          <w:szCs w:val="22"/>
        </w:rPr>
      </w:pPr>
    </w:p>
    <w:p w14:paraId="6CAEDC07" w14:textId="77777777" w:rsidR="00396BA4" w:rsidRPr="00F47884" w:rsidRDefault="00396BA4" w:rsidP="00396BA4">
      <w:pPr>
        <w:spacing w:before="60" w:after="60"/>
        <w:rPr>
          <w:rFonts w:cstheme="minorHAnsi"/>
          <w:noProof/>
          <w:sz w:val="22"/>
          <w:szCs w:val="22"/>
        </w:rPr>
      </w:pPr>
    </w:p>
    <w:p w14:paraId="0B3BF873"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16B709A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06FA1627"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4330786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5882E5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44674D9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4A17C530"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0CF4928A"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1DA67248" w14:textId="77777777" w:rsidR="00396BA4" w:rsidRPr="00F47884" w:rsidRDefault="00396BA4" w:rsidP="00396BA4">
      <w:pPr>
        <w:rPr>
          <w:rFonts w:cstheme="minorHAnsi"/>
          <w:b/>
          <w:sz w:val="22"/>
          <w:szCs w:val="22"/>
          <w:u w:val="single"/>
        </w:rPr>
      </w:pPr>
    </w:p>
    <w:p w14:paraId="157AE5D6" w14:textId="77777777" w:rsidR="00396BA4" w:rsidRDefault="00396BA4" w:rsidP="00396BA4">
      <w:pPr>
        <w:spacing w:after="160" w:line="259" w:lineRule="auto"/>
        <w:rPr>
          <w:rFonts w:cstheme="minorHAnsi"/>
          <w:b/>
          <w:sz w:val="22"/>
          <w:szCs w:val="22"/>
          <w:u w:val="single"/>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79E8CCE5"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006A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lastRenderedPageBreak/>
              <w:t>Naziv operacije:</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159B17B2"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73096719" w14:textId="77777777" w:rsidR="00396BA4" w:rsidRPr="00F47884" w:rsidRDefault="00396BA4" w:rsidP="00396BA4">
      <w:pPr>
        <w:spacing w:before="60" w:after="60"/>
        <w:rPr>
          <w:rFonts w:cstheme="minorHAnsi"/>
          <w:noProof/>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396BA4" w:rsidRPr="00F47884" w14:paraId="32513F4E" w14:textId="77777777" w:rsidTr="001831FC">
        <w:tc>
          <w:tcPr>
            <w:tcW w:w="9706" w:type="dxa"/>
            <w:tcBorders>
              <w:top w:val="single" w:sz="4" w:space="0" w:color="auto"/>
              <w:left w:val="single" w:sz="4" w:space="0" w:color="auto"/>
              <w:bottom w:val="single" w:sz="4" w:space="0" w:color="auto"/>
              <w:right w:val="single" w:sz="4" w:space="0" w:color="auto"/>
            </w:tcBorders>
            <w:shd w:val="clear" w:color="auto" w:fill="auto"/>
            <w:hideMark/>
          </w:tcPr>
          <w:p w14:paraId="4AC5184D" w14:textId="6334D5D5" w:rsidR="00396BA4" w:rsidRPr="00F47884" w:rsidRDefault="00396BA4" w:rsidP="001831FC">
            <w:pPr>
              <w:spacing w:before="60" w:after="60"/>
              <w:jc w:val="center"/>
              <w:rPr>
                <w:rFonts w:cstheme="minorHAnsi"/>
                <w:b/>
                <w:noProof/>
                <w:color w:val="000000" w:themeColor="text1"/>
                <w:sz w:val="22"/>
                <w:szCs w:val="22"/>
              </w:rPr>
            </w:pPr>
            <w:r w:rsidRPr="00F47884">
              <w:rPr>
                <w:rFonts w:cstheme="minorHAnsi"/>
                <w:noProof/>
                <w:color w:val="000000" w:themeColor="text1"/>
                <w:sz w:val="22"/>
                <w:szCs w:val="22"/>
              </w:rPr>
              <w:br w:type="page"/>
            </w:r>
            <w:r w:rsidRPr="00F47884">
              <w:rPr>
                <w:rFonts w:cstheme="minorHAnsi"/>
                <w:b/>
                <w:noProof/>
                <w:color w:val="000000" w:themeColor="text1"/>
                <w:sz w:val="22"/>
                <w:szCs w:val="22"/>
              </w:rPr>
              <w:t>Izjava partnerja</w:t>
            </w:r>
            <w:r>
              <w:rPr>
                <w:rFonts w:cstheme="minorHAnsi"/>
                <w:b/>
                <w:noProof/>
                <w:color w:val="000000" w:themeColor="text1"/>
                <w:sz w:val="22"/>
                <w:szCs w:val="22"/>
              </w:rPr>
              <w:t xml:space="preserve"> št. 10 v </w:t>
            </w:r>
            <w:r w:rsidRPr="00F47884">
              <w:rPr>
                <w:rFonts w:cstheme="minorHAnsi"/>
                <w:b/>
                <w:noProof/>
                <w:color w:val="000000" w:themeColor="text1"/>
                <w:sz w:val="22"/>
                <w:szCs w:val="22"/>
              </w:rPr>
              <w:t>operacij</w:t>
            </w:r>
            <w:r>
              <w:rPr>
                <w:rFonts w:cstheme="minorHAnsi"/>
                <w:b/>
                <w:noProof/>
                <w:color w:val="000000" w:themeColor="text1"/>
                <w:sz w:val="22"/>
                <w:szCs w:val="22"/>
              </w:rPr>
              <w:t>i</w:t>
            </w:r>
            <w:r w:rsidRPr="00F47884">
              <w:rPr>
                <w:rFonts w:cstheme="minorHAnsi"/>
                <w:b/>
                <w:noProof/>
                <w:color w:val="000000" w:themeColor="text1"/>
                <w:sz w:val="22"/>
                <w:szCs w:val="22"/>
              </w:rPr>
              <w:t>,</w:t>
            </w:r>
          </w:p>
          <w:p w14:paraId="0642234F" w14:textId="77777777" w:rsidR="00396BA4" w:rsidRPr="00F47884" w:rsidRDefault="00396BA4" w:rsidP="001831FC">
            <w:pPr>
              <w:spacing w:before="60" w:after="60"/>
              <w:jc w:val="center"/>
              <w:rPr>
                <w:rFonts w:cstheme="minorHAnsi"/>
                <w:b/>
                <w:bCs/>
                <w:noProof/>
                <w:color w:val="000000" w:themeColor="text1"/>
                <w:sz w:val="22"/>
                <w:szCs w:val="22"/>
                <w:highlight w:val="darkYellow"/>
                <w:shd w:val="clear" w:color="auto" w:fill="333399"/>
                <w:lang w:eastAsia="en-US"/>
              </w:rPr>
            </w:pPr>
            <w:r w:rsidRPr="00F47884">
              <w:rPr>
                <w:rFonts w:cstheme="minorHAnsi"/>
                <w:b/>
                <w:noProof/>
                <w:color w:val="000000" w:themeColor="text1"/>
                <w:sz w:val="22"/>
                <w:szCs w:val="22"/>
              </w:rPr>
              <w:t>DA PODPORA NE BO DODELJENA PODJETJU V TEŽAVAH</w:t>
            </w:r>
          </w:p>
        </w:tc>
      </w:tr>
    </w:tbl>
    <w:p w14:paraId="71F65040" w14:textId="77777777" w:rsidR="00396BA4" w:rsidRPr="00F47884" w:rsidRDefault="00396BA4" w:rsidP="00396BA4">
      <w:pPr>
        <w:spacing w:before="60" w:after="60"/>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6020"/>
      </w:tblGrid>
      <w:tr w:rsidR="00396BA4" w:rsidRPr="00F47884" w14:paraId="344E973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9AF1" w14:textId="7CFC45D6"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Naziv partnerja</w:t>
            </w:r>
            <w:r>
              <w:rPr>
                <w:rFonts w:cstheme="minorHAnsi"/>
                <w:noProof/>
                <w:sz w:val="22"/>
                <w:szCs w:val="22"/>
              </w:rPr>
              <w:t xml:space="preserve"> št. 10</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51D469"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04AF8606"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CF01"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Sedež</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1131C7"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2A890C24" w14:textId="77777777" w:rsidTr="001831F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B548C7" w14:textId="77777777" w:rsidR="00396BA4" w:rsidRPr="00F47884" w:rsidRDefault="00396BA4" w:rsidP="001831FC">
            <w:pPr>
              <w:spacing w:before="60" w:after="60"/>
              <w:rPr>
                <w:rFonts w:cstheme="minorHAnsi"/>
                <w:noProof/>
                <w:sz w:val="22"/>
                <w:szCs w:val="22"/>
              </w:rPr>
            </w:pPr>
            <w:r w:rsidRPr="00F47884">
              <w:rPr>
                <w:rFonts w:cstheme="minorHAnsi"/>
                <w:noProof/>
                <w:sz w:val="22"/>
                <w:szCs w:val="22"/>
              </w:rPr>
              <w:t>Matična številka</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1B5E7C4"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bl>
    <w:p w14:paraId="66A394EC" w14:textId="77777777" w:rsidR="00396BA4" w:rsidRPr="00F47884" w:rsidRDefault="00396BA4" w:rsidP="00396BA4">
      <w:pPr>
        <w:spacing w:before="60" w:after="60"/>
        <w:rPr>
          <w:rFonts w:cstheme="minorHAnsi"/>
          <w:noProof/>
          <w:sz w:val="22"/>
          <w:szCs w:val="22"/>
          <w:lang w:eastAsia="en-US"/>
        </w:rPr>
      </w:pPr>
    </w:p>
    <w:p w14:paraId="2C950564" w14:textId="75100D70" w:rsidR="00396BA4" w:rsidRPr="00F47884" w:rsidRDefault="00396BA4" w:rsidP="00396BA4">
      <w:pPr>
        <w:spacing w:before="60" w:after="60"/>
        <w:rPr>
          <w:rFonts w:cstheme="minorHAnsi"/>
          <w:noProof/>
          <w:sz w:val="22"/>
          <w:szCs w:val="22"/>
          <w:lang w:eastAsia="en-US"/>
        </w:rPr>
      </w:pPr>
      <w:r w:rsidRPr="00F47884">
        <w:rPr>
          <w:rFonts w:cstheme="minorHAnsi"/>
          <w:noProof/>
          <w:sz w:val="22"/>
          <w:szCs w:val="22"/>
          <w:lang w:eastAsia="en-US"/>
        </w:rPr>
        <w:t>Odgovorna oseba partnerja</w:t>
      </w:r>
      <w:r>
        <w:rPr>
          <w:rFonts w:cstheme="minorHAnsi"/>
          <w:noProof/>
          <w:sz w:val="22"/>
          <w:szCs w:val="22"/>
          <w:lang w:eastAsia="en-US"/>
        </w:rPr>
        <w:t xml:space="preserve"> št. 10</w:t>
      </w:r>
      <w:r w:rsidRPr="00F47884">
        <w:rPr>
          <w:rFonts w:cstheme="minorHAnsi"/>
          <w:noProof/>
          <w:sz w:val="22"/>
          <w:szCs w:val="22"/>
          <w:lang w:eastAsia="en-US"/>
        </w:rPr>
        <w:t xml:space="preserve">    </w:t>
      </w:r>
      <w:r w:rsidRPr="00F47884">
        <w:rPr>
          <w:rFonts w:cstheme="minorHAnsi"/>
          <w:sz w:val="20"/>
          <w:szCs w:val="20"/>
          <w:u w:val="single"/>
        </w:rPr>
        <w:fldChar w:fldCharType="begin">
          <w:ffData>
            <w:name w:val=""/>
            <w:enabled/>
            <w:calcOnExit w:val="0"/>
            <w:textInput>
              <w:maxLength w:val="1000"/>
            </w:textInput>
          </w:ffData>
        </w:fldChar>
      </w:r>
      <w:r w:rsidRPr="00F47884">
        <w:rPr>
          <w:rFonts w:cstheme="minorHAnsi"/>
          <w:sz w:val="20"/>
          <w:szCs w:val="20"/>
          <w:u w:val="single"/>
        </w:rPr>
        <w:instrText xml:space="preserve"> FORMTEXT </w:instrText>
      </w:r>
      <w:r w:rsidRPr="00F47884">
        <w:rPr>
          <w:rFonts w:cstheme="minorHAnsi"/>
          <w:sz w:val="20"/>
          <w:szCs w:val="20"/>
          <w:u w:val="single"/>
        </w:rPr>
      </w:r>
      <w:r w:rsidRPr="00F47884">
        <w:rPr>
          <w:rFonts w:cstheme="minorHAnsi"/>
          <w:sz w:val="20"/>
          <w:szCs w:val="20"/>
          <w:u w:val="single"/>
        </w:rPr>
        <w:fldChar w:fldCharType="separate"/>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noProof/>
          <w:sz w:val="20"/>
          <w:szCs w:val="20"/>
          <w:u w:val="single"/>
        </w:rPr>
        <w:t> </w:t>
      </w:r>
      <w:r w:rsidRPr="00F47884">
        <w:rPr>
          <w:rFonts w:cstheme="minorHAnsi"/>
          <w:sz w:val="20"/>
          <w:szCs w:val="20"/>
          <w:u w:val="single"/>
        </w:rPr>
        <w:fldChar w:fldCharType="end"/>
      </w:r>
      <w:r w:rsidRPr="00F47884">
        <w:rPr>
          <w:rFonts w:cstheme="minorHAnsi"/>
          <w:sz w:val="20"/>
          <w:szCs w:val="20"/>
        </w:rPr>
        <w:t xml:space="preserve">   </w:t>
      </w:r>
      <w:r w:rsidRPr="00F47884">
        <w:rPr>
          <w:rFonts w:cstheme="minorHAnsi"/>
          <w:noProof/>
          <w:sz w:val="22"/>
          <w:szCs w:val="22"/>
          <w:lang w:eastAsia="en-US"/>
        </w:rPr>
        <w:t>izjavljam,</w:t>
      </w:r>
    </w:p>
    <w:p w14:paraId="6BFC9721" w14:textId="77777777" w:rsidR="00396BA4" w:rsidRPr="00F47884" w:rsidRDefault="00396BA4" w:rsidP="00396BA4">
      <w:pPr>
        <w:spacing w:before="60" w:after="60"/>
        <w:ind w:left="2820" w:firstLine="12"/>
        <w:jc w:val="both"/>
        <w:rPr>
          <w:rFonts w:cstheme="minorHAnsi"/>
          <w:i/>
          <w:noProof/>
          <w:sz w:val="16"/>
          <w:szCs w:val="16"/>
          <w:lang w:eastAsia="en-US"/>
        </w:rPr>
      </w:pPr>
      <w:r w:rsidRPr="00F47884">
        <w:rPr>
          <w:rFonts w:cstheme="minorHAnsi"/>
          <w:noProof/>
          <w:sz w:val="22"/>
          <w:szCs w:val="22"/>
          <w:lang w:eastAsia="en-US"/>
        </w:rPr>
        <w:t xml:space="preserve"> </w:t>
      </w:r>
      <w:r w:rsidRPr="00F47884">
        <w:rPr>
          <w:rFonts w:cstheme="minorHAnsi"/>
          <w:i/>
          <w:noProof/>
          <w:sz w:val="16"/>
          <w:szCs w:val="16"/>
          <w:lang w:eastAsia="en-US"/>
        </w:rPr>
        <w:t>ime in priimek</w:t>
      </w:r>
    </w:p>
    <w:p w14:paraId="543EC9F8" w14:textId="77777777" w:rsidR="00396BA4" w:rsidRPr="00F47884" w:rsidRDefault="00396BA4" w:rsidP="00396BA4">
      <w:pPr>
        <w:spacing w:before="60" w:after="60"/>
        <w:jc w:val="both"/>
        <w:rPr>
          <w:rFonts w:cstheme="minorHAnsi"/>
          <w:noProof/>
          <w:sz w:val="22"/>
          <w:szCs w:val="22"/>
          <w:lang w:eastAsia="en-US"/>
        </w:rPr>
      </w:pPr>
    </w:p>
    <w:p w14:paraId="07D7080A" w14:textId="77777777" w:rsidR="00396BA4" w:rsidRPr="00F47884" w:rsidRDefault="00396BA4" w:rsidP="00396BA4">
      <w:pPr>
        <w:spacing w:before="60" w:after="60"/>
        <w:jc w:val="both"/>
        <w:rPr>
          <w:rFonts w:cstheme="minorHAnsi"/>
          <w:noProof/>
          <w:sz w:val="22"/>
          <w:szCs w:val="22"/>
        </w:rPr>
      </w:pPr>
      <w:r w:rsidRPr="00F47884">
        <w:rPr>
          <w:rFonts w:cstheme="minorHAnsi"/>
          <w:noProof/>
          <w:sz w:val="22"/>
          <w:szCs w:val="22"/>
          <w:lang w:eastAsia="en-US"/>
        </w:rPr>
        <w:t>da</w:t>
      </w:r>
      <w:r w:rsidRPr="00F47884">
        <w:rPr>
          <w:rFonts w:cstheme="minorHAnsi"/>
          <w:noProof/>
          <w:sz w:val="22"/>
          <w:szCs w:val="22"/>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14:paraId="5F5C0C0C" w14:textId="77777777" w:rsidR="00396BA4" w:rsidRPr="00F47884" w:rsidRDefault="00396BA4" w:rsidP="00396BA4">
      <w:pPr>
        <w:spacing w:before="60" w:after="60"/>
        <w:jc w:val="both"/>
        <w:rPr>
          <w:rFonts w:cstheme="minorHAnsi"/>
          <w:noProof/>
          <w:sz w:val="22"/>
          <w:szCs w:val="22"/>
          <w:lang w:eastAsia="en-US"/>
        </w:rPr>
      </w:pPr>
    </w:p>
    <w:p w14:paraId="69470CD6" w14:textId="77777777" w:rsidR="00396BA4" w:rsidRPr="00396BA4" w:rsidRDefault="00396BA4" w:rsidP="00396BA4">
      <w:pPr>
        <w:spacing w:before="60" w:after="60"/>
        <w:rPr>
          <w:rFonts w:cstheme="minorHAnsi"/>
          <w:noProof/>
          <w:sz w:val="22"/>
          <w:szCs w:val="22"/>
        </w:rPr>
      </w:pPr>
      <w:r w:rsidRPr="00F47884">
        <w:rPr>
          <w:rFonts w:cstheme="minorHAnsi"/>
          <w:noProof/>
          <w:sz w:val="22"/>
          <w:szCs w:val="22"/>
          <w:lang w:eastAsia="en-US"/>
        </w:rPr>
        <w:t xml:space="preserve">podjetje </w:t>
      </w:r>
      <w:r w:rsidRPr="00F47884">
        <w:rPr>
          <w:rFonts w:cstheme="minorHAnsi"/>
          <w:b/>
          <w:noProof/>
          <w:sz w:val="22"/>
          <w:szCs w:val="22"/>
          <w:lang w:eastAsia="en-US"/>
        </w:rPr>
        <w:t>JE / NI</w:t>
      </w:r>
      <w:r w:rsidRPr="00F47884">
        <w:rPr>
          <w:rFonts w:cstheme="minorHAnsi"/>
          <w:noProof/>
          <w:sz w:val="22"/>
          <w:szCs w:val="22"/>
          <w:lang w:eastAsia="en-US"/>
        </w:rPr>
        <w:t xml:space="preserve"> v težavah*.      </w:t>
      </w:r>
    </w:p>
    <w:p w14:paraId="65C45DD5" w14:textId="77777777" w:rsidR="00396BA4" w:rsidRPr="00F47884" w:rsidRDefault="00396BA4" w:rsidP="00396BA4">
      <w:pPr>
        <w:spacing w:before="60" w:after="60"/>
        <w:jc w:val="both"/>
        <w:rPr>
          <w:rFonts w:cstheme="minorHAnsi"/>
          <w:noProof/>
          <w:sz w:val="22"/>
          <w:szCs w:val="22"/>
          <w:lang w:eastAsia="en-U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5311"/>
      </w:tblGrid>
      <w:tr w:rsidR="00396BA4" w:rsidRPr="00F47884" w14:paraId="7A4715B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AA64"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Kraj in datum: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6A59B63" w14:textId="77777777" w:rsidR="00396BA4" w:rsidRPr="00F47884" w:rsidRDefault="00396BA4" w:rsidP="001831FC">
            <w:pPr>
              <w:spacing w:before="60" w:after="60"/>
              <w:rPr>
                <w:rFonts w:cstheme="minorHAnsi"/>
                <w:noProof/>
                <w:sz w:val="22"/>
                <w:szCs w:val="22"/>
                <w:lang w:eastAsia="en-US"/>
              </w:rPr>
            </w:pPr>
            <w:r w:rsidRPr="00F47884">
              <w:rPr>
                <w:rFonts w:cstheme="minorHAnsi"/>
                <w:sz w:val="20"/>
                <w:szCs w:val="20"/>
              </w:rPr>
              <w:fldChar w:fldCharType="begin">
                <w:ffData>
                  <w:name w:val=""/>
                  <w:enabled/>
                  <w:calcOnExit w:val="0"/>
                  <w:textInput>
                    <w:maxLength w:val="1000"/>
                  </w:textInput>
                </w:ffData>
              </w:fldChar>
            </w:r>
            <w:r w:rsidRPr="00F47884">
              <w:rPr>
                <w:rFonts w:cstheme="minorHAnsi"/>
                <w:sz w:val="20"/>
                <w:szCs w:val="20"/>
              </w:rPr>
              <w:instrText xml:space="preserve"> FORMTEXT </w:instrText>
            </w:r>
            <w:r w:rsidRPr="00F47884">
              <w:rPr>
                <w:rFonts w:cstheme="minorHAnsi"/>
                <w:sz w:val="20"/>
                <w:szCs w:val="20"/>
              </w:rPr>
            </w:r>
            <w:r w:rsidRPr="00F47884">
              <w:rPr>
                <w:rFonts w:cstheme="minorHAnsi"/>
                <w:sz w:val="20"/>
                <w:szCs w:val="20"/>
              </w:rPr>
              <w:fldChar w:fldCharType="separate"/>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noProof/>
                <w:sz w:val="20"/>
                <w:szCs w:val="20"/>
              </w:rPr>
              <w:t> </w:t>
            </w:r>
            <w:r w:rsidRPr="00F47884">
              <w:rPr>
                <w:rFonts w:cstheme="minorHAnsi"/>
                <w:sz w:val="20"/>
                <w:szCs w:val="20"/>
              </w:rPr>
              <w:fldChar w:fldCharType="end"/>
            </w:r>
          </w:p>
        </w:tc>
      </w:tr>
      <w:tr w:rsidR="00396BA4" w:rsidRPr="00F47884" w14:paraId="4DA303AB" w14:textId="77777777" w:rsidTr="001831F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8EF0" w14:textId="77777777" w:rsidR="00396BA4" w:rsidRPr="00F47884" w:rsidRDefault="00396BA4" w:rsidP="001831FC">
            <w:pPr>
              <w:spacing w:before="60" w:after="60"/>
              <w:rPr>
                <w:rFonts w:cstheme="minorHAnsi"/>
                <w:noProof/>
                <w:sz w:val="22"/>
                <w:szCs w:val="22"/>
                <w:lang w:eastAsia="en-US"/>
              </w:rPr>
            </w:pPr>
            <w:r w:rsidRPr="00F47884">
              <w:rPr>
                <w:rFonts w:cstheme="minorHAnsi"/>
                <w:noProof/>
                <w:sz w:val="22"/>
                <w:szCs w:val="22"/>
              </w:rPr>
              <w:t xml:space="preserve">Podpis in žig: </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38D4529" w14:textId="77777777" w:rsidR="00396BA4" w:rsidRPr="00F47884" w:rsidRDefault="00396BA4" w:rsidP="001831FC">
            <w:pPr>
              <w:spacing w:before="60" w:after="60"/>
              <w:rPr>
                <w:rFonts w:cstheme="minorHAnsi"/>
                <w:noProof/>
                <w:sz w:val="22"/>
                <w:szCs w:val="22"/>
                <w:lang w:eastAsia="en-US"/>
              </w:rPr>
            </w:pPr>
          </w:p>
        </w:tc>
      </w:tr>
    </w:tbl>
    <w:p w14:paraId="01D0A5CB" w14:textId="77777777" w:rsidR="00396BA4" w:rsidRDefault="00396BA4" w:rsidP="00396BA4">
      <w:pPr>
        <w:spacing w:before="60" w:after="60"/>
        <w:rPr>
          <w:rFonts w:cstheme="minorHAnsi"/>
          <w:noProof/>
          <w:sz w:val="22"/>
          <w:szCs w:val="22"/>
        </w:rPr>
      </w:pPr>
    </w:p>
    <w:p w14:paraId="3C751B16" w14:textId="77777777" w:rsidR="00396BA4" w:rsidRPr="00F47884" w:rsidRDefault="00396BA4" w:rsidP="00396BA4">
      <w:pPr>
        <w:spacing w:before="60" w:after="60"/>
        <w:rPr>
          <w:rFonts w:cstheme="minorHAnsi"/>
          <w:noProof/>
          <w:sz w:val="22"/>
          <w:szCs w:val="22"/>
        </w:rPr>
      </w:pPr>
    </w:p>
    <w:p w14:paraId="739CF9A0"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lang w:eastAsia="en-US"/>
        </w:rPr>
        <w:t>*V</w:t>
      </w:r>
      <w:r w:rsidRPr="00F47884">
        <w:rPr>
          <w:rFonts w:cstheme="minorHAnsi"/>
          <w:noProof/>
          <w:sz w:val="20"/>
          <w:szCs w:val="20"/>
        </w:rPr>
        <w:t xml:space="preserve"> skladu z 2. členom Uredbe Komisije (EU) št. 702/2014 "podjetje v težavah" pomeni podjetje, za katerega velja vsaj ena od naslednjih okoliščin: </w:t>
      </w:r>
    </w:p>
    <w:p w14:paraId="68216FC6"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14:paraId="65C9FA7C"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(b) če je v primeru družbe, v kateri imajo vsaj nekateri člani neomejeno odgovornost za dolg družbe (razen MSP, </w:t>
      </w:r>
      <w:r w:rsidRPr="00F47884">
        <w:rPr>
          <w:rFonts w:cstheme="minorHAnsi"/>
          <w:noProof/>
          <w:sz w:val="20"/>
          <w:szCs w:val="20"/>
        </w:rPr>
        <w:br/>
        <w:t>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109B550B"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(c) če je podjetje v kolektivnem postopku zaradi insolventnosti ali če v skladu z nacionalno zakonodajo izpolnjuje merila za uvedbo kolektivnega postopka zaradi insolventnosti na zahtevo njegovih upnikov; </w:t>
      </w:r>
    </w:p>
    <w:p w14:paraId="321A5359"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(d) če je podjetje prejelo pomoč za reševanje in še ni vrnilo posojila ali prekinilo jamstva ali če je podjetje prejelo pomoč za reševanje in je še vedno predmet načrta prestrukturiranja; </w:t>
      </w:r>
    </w:p>
    <w:p w14:paraId="36FC5AB2" w14:textId="77777777" w:rsidR="00396BA4" w:rsidRPr="00F47884" w:rsidRDefault="00396BA4" w:rsidP="00396BA4">
      <w:pPr>
        <w:spacing w:before="60" w:after="60"/>
        <w:jc w:val="both"/>
        <w:rPr>
          <w:rFonts w:cstheme="minorHAnsi"/>
          <w:noProof/>
          <w:sz w:val="20"/>
          <w:szCs w:val="20"/>
        </w:rPr>
      </w:pPr>
      <w:r w:rsidRPr="00F47884">
        <w:rPr>
          <w:rFonts w:cstheme="minorHAnsi"/>
          <w:noProof/>
          <w:sz w:val="20"/>
          <w:szCs w:val="20"/>
        </w:rPr>
        <w:t xml:space="preserve">(e) če je v primeru podjetja, ki ni MSP, v zadnjih dveh letih: </w:t>
      </w:r>
    </w:p>
    <w:p w14:paraId="0A301E95"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 xml:space="preserve">(i) knjigovodsko razmerje med dolgovi in lastnim kapitalom večje od 7,5 in </w:t>
      </w:r>
    </w:p>
    <w:p w14:paraId="7311EB47" w14:textId="77777777" w:rsidR="00396BA4" w:rsidRPr="00F47884" w:rsidRDefault="00396BA4" w:rsidP="00396BA4">
      <w:pPr>
        <w:spacing w:before="60" w:after="60"/>
        <w:ind w:left="720"/>
        <w:jc w:val="both"/>
        <w:rPr>
          <w:rFonts w:cstheme="minorHAnsi"/>
          <w:noProof/>
          <w:sz w:val="20"/>
          <w:szCs w:val="20"/>
        </w:rPr>
      </w:pPr>
      <w:r w:rsidRPr="00F47884">
        <w:rPr>
          <w:rFonts w:cstheme="minorHAnsi"/>
          <w:noProof/>
          <w:sz w:val="20"/>
          <w:szCs w:val="20"/>
        </w:rPr>
        <w:t>(ii) razmerje med dobičkom podjetja pred obrestmi, davki in amortizacijo (EBITDA) ter kritjem obresti nižje od 1,0;</w:t>
      </w:r>
    </w:p>
    <w:p w14:paraId="117C08FE" w14:textId="77777777" w:rsidR="00396BA4" w:rsidRPr="00F47884" w:rsidRDefault="00396BA4" w:rsidP="00396BA4">
      <w:pPr>
        <w:rPr>
          <w:rFonts w:cstheme="minorHAnsi"/>
          <w:b/>
          <w:sz w:val="22"/>
          <w:szCs w:val="22"/>
          <w:u w:val="single"/>
        </w:rPr>
      </w:pPr>
    </w:p>
    <w:sectPr w:rsidR="00396BA4" w:rsidRPr="00F47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7sTPa2OsRxWpnRvET0kn386Zvh7OBKDSkA9dN5IMSq2b5EQyS4ZLWijdIjPQ653NYLxmpGo5d1DNA4a7DciTUQ==" w:salt="h9C7Q/ZFhGn0933PosT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7"/>
    <w:rsid w:val="00020357"/>
    <w:rsid w:val="000C555E"/>
    <w:rsid w:val="001940E1"/>
    <w:rsid w:val="00385C7B"/>
    <w:rsid w:val="00396BA4"/>
    <w:rsid w:val="00CC61DF"/>
    <w:rsid w:val="00EE3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196C"/>
  <w15:chartTrackingRefBased/>
  <w15:docId w15:val="{EC2C8890-1BF9-4238-BE92-E3F1FE4B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36DC"/>
    <w:pPr>
      <w:spacing w:after="200" w:line="240" w:lineRule="auto"/>
    </w:pPr>
    <w:rPr>
      <w:rFonts w:eastAsiaTheme="minorEastAsia"/>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4165</Words>
  <Characters>23743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Las</cp:lastModifiedBy>
  <cp:revision>9</cp:revision>
  <dcterms:created xsi:type="dcterms:W3CDTF">2019-11-19T16:54:00Z</dcterms:created>
  <dcterms:modified xsi:type="dcterms:W3CDTF">2020-04-14T13:32:00Z</dcterms:modified>
</cp:coreProperties>
</file>